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AE42EA" w:rsidRPr="00785404" w:rsidTr="00E5298E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AE42EA" w:rsidRPr="00785404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E42EA" w:rsidRPr="00785404" w:rsidRDefault="00AE42EA" w:rsidP="00E5298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Makroekonomski menadžment</w:t>
            </w:r>
          </w:p>
        </w:tc>
      </w:tr>
      <w:tr w:rsidR="00AE42EA" w:rsidRPr="00785404" w:rsidTr="00E5298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B84299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EUA307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E42EA" w:rsidRPr="00785404" w:rsidTr="00E5298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A8A" w:rsidRDefault="00206A8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Doc.dr.sc. Bruno Ćorić </w:t>
            </w:r>
          </w:p>
          <w:p w:rsidR="00AE42EA" w:rsidRPr="00785404" w:rsidRDefault="00AE42EA" w:rsidP="00206A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6A8A">
              <w:rPr>
                <w:rFonts w:ascii="Times New Roman" w:hAnsi="Times New Roman"/>
                <w:color w:val="FF0000"/>
                <w:sz w:val="20"/>
                <w:szCs w:val="20"/>
              </w:rPr>
              <w:t>Izv. prof. dr. sc. Lena Malešević Perović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442686" w:rsidRDefault="00AE42EA" w:rsidP="00E5298E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highlight w:val="green"/>
              </w:rPr>
            </w:pPr>
            <w:r w:rsidRPr="00442686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</w:tr>
      <w:tr w:rsidR="00AE42EA" w:rsidRPr="00785404" w:rsidTr="00E5298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AE42EA" w:rsidRPr="00785404" w:rsidTr="00E5298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785404" w:rsidRDefault="00AE42EA" w:rsidP="00E529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2EA" w:rsidRPr="00785404" w:rsidTr="00E5298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162264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O</w:t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t>bvezni</w:t>
            </w:r>
            <w:r>
              <w:rPr>
                <w:rFonts w:ascii="Times New Roman" w:hAnsi="Times New Roman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206A8A" w:rsidP="00206A8A">
            <w:pPr>
              <w:spacing w:after="0" w:line="240" w:lineRule="auto"/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206A8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Glavni cilj predmeta je osigurati da studenti ovladaju načinima na koje država svojim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djelovanjem </w:t>
            </w:r>
            <w:r w:rsidRPr="00206A8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može pridonijeti poboljšanju rezultata djelovanja tržišne ekonomije u dugom i kratkom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Pr="00206A8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roku, te ih naučiti da samostalno valorizirati, kritički prosuđuju i preispituju mjere koje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Pr="00206A8A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države poduzimaju u tom smjeru.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206A8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06A8A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83" w:rsidRPr="00F866F2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</w:pPr>
            <w:r w:rsidRPr="00F866F2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en-US"/>
              </w:rPr>
              <w:t>I</w:t>
            </w:r>
            <w:r w:rsidRPr="00F866F2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shod učenja predmeta:</w:t>
            </w:r>
          </w:p>
          <w:p w:rsidR="00AE42EA" w:rsidRPr="00F866F2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</w:pPr>
            <w:r w:rsidRPr="00F866F2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Utvrditi načine na koje država svojim djelovanjem može pridonijeti poboljšanju rezultata djelovanja tržišne ekonomije, te kritički prosuditi i valorizirati kvalitetu I uspješnost mjera koje država poduzimati u tom smjeru- razina 7.</w:t>
            </w:r>
          </w:p>
          <w:p w:rsidR="009C6883" w:rsidRPr="00F866F2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9C6883" w:rsidRPr="00F866F2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</w:pPr>
            <w:r w:rsidRPr="00F866F2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Pojedinačni ishodi učenja:</w:t>
            </w:r>
          </w:p>
          <w:p w:rsidR="00162264" w:rsidRPr="00F866F2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66F2">
              <w:rPr>
                <w:rFonts w:ascii="Times New Roman" w:hAnsi="Times New Roman"/>
                <w:color w:val="FF0000"/>
                <w:sz w:val="20"/>
                <w:szCs w:val="20"/>
              </w:rPr>
              <w:t>Preispitati i argumentirati opće razloge za aktivno u</w:t>
            </w:r>
            <w:r w:rsidR="00162264" w:rsidRPr="00F866F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ključivanja države u djelovanje </w:t>
            </w:r>
            <w:r w:rsidRPr="00F866F2">
              <w:rPr>
                <w:rFonts w:ascii="Times New Roman" w:hAnsi="Times New Roman"/>
                <w:color w:val="FF0000"/>
                <w:sz w:val="20"/>
                <w:szCs w:val="20"/>
              </w:rPr>
              <w:t>tržišne ekonomije na pojedinim tržištima i djelatnostima</w:t>
            </w:r>
          </w:p>
          <w:p w:rsidR="00162264" w:rsidRPr="00F866F2" w:rsidRDefault="009C6883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</w:pPr>
            <w:r w:rsidRPr="00F866F2">
              <w:rPr>
                <w:rFonts w:ascii="Times New Roman" w:hAnsi="Times New Roman"/>
                <w:color w:val="FF0000"/>
                <w:sz w:val="20"/>
                <w:szCs w:val="20"/>
              </w:rPr>
              <w:t>Utvrditi i argumentirati opće faktore koji ograničavaju efikasnost uključivanja</w:t>
            </w:r>
            <w:r w:rsidR="00162264" w:rsidRPr="00F866F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F866F2">
              <w:rPr>
                <w:rFonts w:ascii="Times New Roman" w:hAnsi="Times New Roman"/>
                <w:color w:val="FF0000"/>
                <w:sz w:val="20"/>
                <w:szCs w:val="20"/>
              </w:rPr>
              <w:t>države u djelovanje tržišnih mehanizama</w:t>
            </w:r>
          </w:p>
          <w:p w:rsidR="009C6883" w:rsidRPr="00162264" w:rsidRDefault="00162264" w:rsidP="001622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Theme="minorHAnsi" w:hAnsi="ArialMT" w:cs="ArialMT"/>
                <w:color w:val="FF0000"/>
                <w:sz w:val="20"/>
                <w:szCs w:val="20"/>
              </w:rPr>
            </w:pPr>
            <w:r w:rsidRPr="00F866F2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Kritički prosuditi i izabrati efikasne načine uključivanja države u djelovanje tržišne ekonomije na pojedinim tržištima i djelatnostima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28"/>
              <w:gridCol w:w="650"/>
              <w:gridCol w:w="3119"/>
              <w:gridCol w:w="567"/>
            </w:tblGrid>
            <w:tr w:rsidR="00162264" w:rsidRPr="00BD780E" w:rsidTr="00E5298E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162264" w:rsidRPr="00BD780E" w:rsidTr="00E5298E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Uloga države u tržišnoj ekonomiji i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pojam makroekonomskog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managementa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Dogovor o načinu rada, ispitu,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pravima i obvezama studenata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Uloga financijskog sektora u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makroekonomskoj aktivnosti: uzroci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racioniranja kredita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Uloga financijskog sektora u</w:t>
                  </w:r>
                </w:p>
                <w:p w:rsidR="00162264" w:rsidRPr="00BD780E" w:rsidRDefault="00162264" w:rsidP="0016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makroekonomskoj aktivnosti: Financijski akcelerator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Ulaganje u istraživanje i razvoj: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fundamentalna vs. primijenjena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istraživanja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Tržišna konkurencija: Regulacija i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deregulacija u uvjetima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informacijske asimetrije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lastRenderedPageBreak/>
                    <w:t>Financijski sustav i ekonomski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razvoj: načini i problemi regulacije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banaka i tržišta vrijednosnih papira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Ljudski kapital: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načini poticanje akumulacije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ljudskog kapitala u uvjetima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informacijske asimetrije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Ekonomski odnosi s inozemstvom: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načini provođenja liberalizacije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računa kapitalnih i tekućih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transakcija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Institucije i ekonomski razvoj: uloga,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načini izgradnje, demokracija kao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meta institucija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Strategije rasta: Rodrikov koncept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Dijagnoze problema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Makroekonomske reperkusije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poreznog sustava: optimalni porezni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sustav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Makroekonomska stabilnost: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održavanje niske stope inflacije i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smanjivanje kratkoročnih fluktuacija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BDP-a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Ograničenja diskrecijske fiskalne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Kratkoročna ekonomska politika u</w:t>
                  </w:r>
                </w:p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uvjetima ograničenog djelovanja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monetarne politike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 aktualnih znanstvenih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članaka i 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2264" w:rsidRPr="00BD780E" w:rsidTr="00E5298E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Makroekonomski management u</w:t>
                  </w:r>
                </w:p>
                <w:p w:rsidR="00162264" w:rsidRPr="00BD780E" w:rsidRDefault="00162264" w:rsidP="0016226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Hrvatskoj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Analiza</w:t>
                  </w:r>
                </w:p>
                <w:p w:rsidR="00162264" w:rsidRPr="00BD780E" w:rsidRDefault="00162264" w:rsidP="0016226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primjera iz prakse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62264" w:rsidRPr="00BD780E" w:rsidRDefault="00162264" w:rsidP="0016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D780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E42EA" w:rsidRPr="00BD780E" w:rsidRDefault="00AE42EA" w:rsidP="00E5298E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BD780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E42EA" w:rsidRPr="00BD780E" w:rsidRDefault="00AE42EA" w:rsidP="00E5298E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42EA" w:rsidRPr="00785404" w:rsidTr="00E5298E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AE42EA" w:rsidRPr="00785404" w:rsidRDefault="00BD780E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D780E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E42EA" w:rsidRPr="00785404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AE42EA" w:rsidRPr="00B84299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84299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B84299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AE42EA" w:rsidRPr="00785404" w:rsidRDefault="00BD780E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D780E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E42EA" w:rsidRPr="0078540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E42EA" w:rsidRPr="00785404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AE42EA" w:rsidRPr="00B84299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84299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rFonts w:eastAsia="Arial Unicode MS"/>
                <w:b w:val="0"/>
                <w:sz w:val="20"/>
                <w:szCs w:val="20"/>
                <w:lang w:val="hr-HR"/>
              </w:rPr>
              <w:t>☐</w:t>
            </w:r>
            <w:r w:rsidRPr="0078540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E42EA" w:rsidRPr="00785404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eastAsia="Arial Unicode MS" w:hAnsi="Times New Roman"/>
                <w:sz w:val="20"/>
                <w:szCs w:val="20"/>
              </w:rPr>
              <w:t>☐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2162"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952162" w:rsidRPr="00785404">
              <w:rPr>
                <w:rFonts w:ascii="Times New Roman" w:hAnsi="Times New Roman"/>
                <w:sz w:val="20"/>
                <w:szCs w:val="20"/>
              </w:rPr>
            </w:r>
            <w:r w:rsidR="00952162"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 </w:t>
            </w:r>
            <w:r w:rsidR="00952162"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854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8540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E42EA" w:rsidRPr="00785404" w:rsidTr="00E5298E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>
              <w:rPr>
                <w:rFonts w:ascii="Times New Roman" w:hAnsi="Times New Roman"/>
                <w:sz w:val="20"/>
                <w:szCs w:val="20"/>
              </w:rPr>
              <w:t>potpis je pohađanje minimalno 10 od 15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785404">
              <w:rPr>
                <w:rFonts w:ascii="Times New Roman" w:hAnsi="Times New Roman"/>
                <w:sz w:val="20"/>
                <w:szCs w:val="20"/>
              </w:rPr>
              <w:t>. Uvjet za pristupanje ispitu je potpis.</w:t>
            </w:r>
          </w:p>
        </w:tc>
      </w:tr>
      <w:tr w:rsidR="00AE42EA" w:rsidRPr="00785404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AE42EA" w:rsidRPr="00785404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E42EA" w:rsidRPr="00AB6F50" w:rsidRDefault="00AB6F50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Zalaganje i a</w:t>
            </w:r>
            <w:r w:rsidRPr="00AB6F50">
              <w:rPr>
                <w:rFonts w:ascii="Times New Roman" w:eastAsiaTheme="minorHAnsi" w:hAnsi="Times New Roman"/>
                <w:sz w:val="20"/>
                <w:szCs w:val="20"/>
              </w:rPr>
              <w:t>ktivnost na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n</w:t>
            </w:r>
            <w:r w:rsidRPr="00AB6F50">
              <w:rPr>
                <w:rFonts w:ascii="Times New Roman" w:eastAsiaTheme="minorHAnsi" w:hAnsi="Times New Roman"/>
                <w:sz w:val="20"/>
                <w:szCs w:val="20"/>
              </w:rPr>
              <w:t>astavi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B6F50" w:rsidP="00E5298E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</w:tr>
      <w:tr w:rsidR="00AE42EA" w:rsidRPr="00785404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AE42EA" w:rsidRPr="0078540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8540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85404">
              <w:rPr>
                <w:b w:val="0"/>
                <w:sz w:val="20"/>
                <w:szCs w:val="20"/>
                <w:lang w:val="hr-HR"/>
              </w:rPr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E42EA" w:rsidRPr="0078540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8540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AE42EA" w:rsidRPr="007A07C1" w:rsidRDefault="00AE42EA" w:rsidP="00E5298E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8540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E42EA" w:rsidRPr="00174548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B6F50">
              <w:rPr>
                <w:rFonts w:ascii="Times New Roman" w:hAnsi="Times New Roman"/>
                <w:sz w:val="20"/>
                <w:szCs w:val="20"/>
              </w:rPr>
              <w:t>4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E42EA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A07C1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E42EA"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B6F50" w:rsidRDefault="00AB6F50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B6F50">
              <w:rPr>
                <w:rFonts w:ascii="Times New Roman" w:eastAsiaTheme="minorHAnsi" w:hAnsi="Times New Roman"/>
                <w:sz w:val="20"/>
                <w:szCs w:val="20"/>
              </w:rPr>
              <w:t xml:space="preserve">Uvjet za pristupanje ispitu je potpis. Tijekom semestra se kontinuirano prati i vrednuje zalaganje, rad i znanje studenata na nastavi. Studenti ocjenu stječu na usmenom ispitu tijekom ispitnog roka. </w:t>
            </w:r>
          </w:p>
          <w:p w:rsidR="00AE42EA" w:rsidRPr="00AB6F50" w:rsidRDefault="00AB6F50" w:rsidP="00AB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6F50">
              <w:rPr>
                <w:rFonts w:ascii="Times New Roman" w:eastAsiaTheme="minorHAnsi" w:hAnsi="Times New Roman"/>
                <w:sz w:val="20"/>
                <w:szCs w:val="20"/>
              </w:rPr>
              <w:t>Ukupna ocjena predstavlja zbroj ocjene ostvarene na usmenom ispitu (80% ukupne ocjene) i ocjene zalaganje, rad i znanje studenata tijekom semestra (20% ukupne ocjene).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E42EA" w:rsidRPr="00785404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B84299" w:rsidRDefault="00AB6F50" w:rsidP="00AB6F5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B6F50">
              <w:rPr>
                <w:rFonts w:ascii="Times New Roman" w:hAnsi="Times New Roman"/>
                <w:color w:val="000000"/>
                <w:sz w:val="20"/>
                <w:szCs w:val="20"/>
              </w:rPr>
              <w:t>Ćorić, B. i Malešević Perović, L. (2013):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B6F50">
              <w:rPr>
                <w:rFonts w:ascii="Times New Roman" w:hAnsi="Times New Roman"/>
                <w:color w:val="000000"/>
                <w:sz w:val="20"/>
                <w:szCs w:val="20"/>
              </w:rPr>
              <w:t>Makroekonomija. Teorija i politika. EFST, Split.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B6F50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E42EA" w:rsidRPr="00785404" w:rsidTr="00E5298E">
        <w:trPr>
          <w:gridAfter w:val="1"/>
          <w:wAfter w:w="38" w:type="dxa"/>
          <w:trHeight w:val="31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B84299" w:rsidRDefault="00AE42EA" w:rsidP="00E5298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E42EA" w:rsidRPr="00785404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174548" w:rsidRDefault="00AE42EA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174548" w:rsidRDefault="00AE42EA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E42EA" w:rsidRPr="00785404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B84299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8429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B8429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84299">
              <w:rPr>
                <w:rFonts w:ascii="Times New Roman" w:hAnsi="Times New Roman"/>
                <w:sz w:val="20"/>
                <w:szCs w:val="20"/>
              </w:rPr>
            </w:r>
            <w:r w:rsidRPr="00B8429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B8429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8429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AE42EA" w:rsidRPr="00785404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Alesina, A., Campante, F. i Tabellini, G. (2008), Why is Fiscal Policy often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Procyclical?, </w:t>
            </w:r>
            <w:r w:rsidRPr="00F866F2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Journal of the European Economic Association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, Vol. 6, 1006-1036.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Auerbach, A. J., Gale, W. G. i Harris, B. H. (2010), Activist Fiscal Policy, Journal 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Economic Perspectives, Vol. 24, 141-164.</w:t>
            </w:r>
          </w:p>
          <w:p w:rsid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Barro, R. J. (2009), Rare Disasters, Asset Prices, and Welfare Costs, American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Economic Review, Vol. 99, 243-264.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Besley, T. i Persson, T. (2013), Taxation and development, u A. Auerbach, R. Chetty,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M. Feldstein i E. Saez (izd.), Handbook of Public Economics.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F866F2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 xml:space="preserve">Ćorić, B. (2018), The Long-run Effect of Economic Disasters, </w:t>
            </w:r>
            <w:r w:rsidRPr="00F866F2">
              <w:rPr>
                <w:rFonts w:ascii="Times New Roman" w:hAnsi="Times New Roman"/>
                <w:i/>
                <w:color w:val="FF0000"/>
                <w:sz w:val="20"/>
                <w:szCs w:val="20"/>
                <w:lang w:val="en-GB"/>
              </w:rPr>
              <w:t>Applied Economics Letters</w:t>
            </w:r>
            <w:r w:rsidRPr="00F866F2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 xml:space="preserve">, Vol. 25(5), 296-299. 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Dixit, A. (2007), Evaluating Recipes for Development Success, The World Bank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Research Observer, Vol. 22, 131-157.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Dixit, A. (2009), Governance Institutions and Economic Activity, American Economic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Review, Vol. 99, 5-24.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Gans, J. I Murray, F. E. (2012), Funding Scientific Knowledge: Selection, Disclosure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and the Public-private Portfolio, u J. Lerner i S. Stern (izd), The Rate and Direction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of Inventive Activity Revisited, University of Chicago Press, str. 51 – 103.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Hanushek, E. A. i Woessmann, L. (2008), The Role of Cognitive Skills in Economic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Development, Journal of Economic Literature, Vol. 46, 607-668.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Jacobs, B. i van der Ploeg, F. (2006), Guide to Reform of Higher Education: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European Perspective, Economic Policy, Vol. 21, 536-592.</w:t>
            </w:r>
          </w:p>
          <w:p w:rsidR="00AB6F50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Obstfeld, M. (2009), International Finance and Growth in Developing Countries: What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Have We Learned?, IMF Staff Papers, Vol. 56, 36-111.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Rodrik, D. (2010), Diagnostics before Prescription, Journal of Economic Perspectives,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Vol. 24, 33-44.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Rodrik, D. i Subramanian, A. (2009), Why Did Globalization Disappoint?, IMF Staff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Papers, Vol. 56, 112-138.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Schmitt-Grohe, S. i Uribe, M. (2010), The Optimal Rate of Inflation, u Friedman, B. M.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Woodford, M. (izd.), Handbook of Monetary Economics, Elsevier/North-Holland,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Vol. 3, 653-722.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Shleifer, A. (2011), Efficient Regulation, u Kessler, D. P. (izd.), Regulation vs.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Litigation: perspectives from Economics and Law, University of Chicago Press, str.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27-43.</w:t>
            </w:r>
          </w:p>
          <w:p w:rsidR="00F866F2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Svensson, L. E. O. (2010), Inflation Targeting, u B. M. Friedman i M. Woodford (izd.),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Handbook of Monetary Economics, Elsevier, Vol. 3, 1237-1302.</w:t>
            </w:r>
          </w:p>
          <w:p w:rsidR="00AB6F50" w:rsidRPr="00F866F2" w:rsidRDefault="00F866F2" w:rsidP="00F866F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Williamson, S. D. i Wright, R. (2010), New Monetarists Economics: Methods, Federal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866F2">
              <w:rPr>
                <w:rFonts w:ascii="Times New Roman" w:hAnsi="Times New Roman"/>
                <w:sz w:val="20"/>
                <w:szCs w:val="20"/>
                <w:lang w:val="en-US"/>
              </w:rPr>
              <w:t>Reserve Bank of St. Louis Review, Vol. (Jul/August), 265-302.</w:t>
            </w:r>
          </w:p>
          <w:p w:rsidR="00AB6F50" w:rsidRPr="00F866F2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B6F50" w:rsidRPr="00AB6F50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B6F50">
              <w:rPr>
                <w:rFonts w:ascii="Times New Roman" w:hAnsi="Times New Roman"/>
                <w:color w:val="FF0000"/>
                <w:sz w:val="20"/>
                <w:szCs w:val="20"/>
              </w:rPr>
              <w:t>Državni zavod za statistiku RH (</w:t>
            </w:r>
            <w:hyperlink r:id="rId5" w:history="1">
              <w:r w:rsidRPr="00AB6F5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www.dzs.hr</w:t>
              </w:r>
            </w:hyperlink>
            <w:r w:rsidRPr="00AB6F50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AB6F50" w:rsidRPr="00AB6F50" w:rsidRDefault="00AB6F50" w:rsidP="00AB6F5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B6F50">
              <w:rPr>
                <w:rFonts w:ascii="Times New Roman" w:hAnsi="Times New Roman"/>
                <w:color w:val="FF0000"/>
                <w:sz w:val="20"/>
                <w:szCs w:val="20"/>
              </w:rPr>
              <w:t>Hrvatska narodna banka – statistički podaci (</w:t>
            </w:r>
            <w:hyperlink r:id="rId6" w:history="1">
              <w:r w:rsidRPr="00AB6F50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https://www.hnb.hr/statistika/statisticki-podaci</w:t>
              </w:r>
            </w:hyperlink>
            <w:r w:rsidRPr="00AB6F50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76266D" w:rsidRPr="00AB6F50" w:rsidRDefault="0076266D" w:rsidP="0076266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AB6F50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Penn World Table (https://www.rug.nl/ggdc/productivity/pwt/)</w:t>
            </w:r>
            <w:r w:rsidRPr="00AB6F50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cr/>
            </w:r>
            <w:r w:rsidRPr="00AB6F50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Eurostat (http://ec.europa.eu/eurostat)</w:t>
            </w:r>
          </w:p>
          <w:p w:rsidR="00AE42EA" w:rsidRPr="00AB6F50" w:rsidRDefault="0076266D" w:rsidP="0076266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B6F50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World Development Indicators (https://data.worldbank.org/products/wdi)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E42EA" w:rsidRPr="00785404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AE42EA" w:rsidRPr="00785404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E42EA" w:rsidRPr="00785404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E42EA" w:rsidRPr="00785404" w:rsidRDefault="00AE42EA" w:rsidP="00AE42E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854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E42EA" w:rsidRPr="00785404" w:rsidTr="00E5298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E42EA" w:rsidRPr="00785404" w:rsidRDefault="00AE42EA" w:rsidP="00E5298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42EA" w:rsidRPr="00785404" w:rsidRDefault="00952162" w:rsidP="00E529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E42EA" w:rsidRPr="0078540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85404">
              <w:rPr>
                <w:rFonts w:ascii="Times New Roman" w:hAnsi="Times New Roman"/>
                <w:sz w:val="20"/>
                <w:szCs w:val="20"/>
              </w:rPr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AE42EA" w:rsidRPr="0078540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8540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BA4E21" w:rsidRDefault="00BA4E21"/>
    <w:sectPr w:rsidR="00BA4E21" w:rsidSect="00952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31B0B"/>
    <w:multiLevelType w:val="hybridMultilevel"/>
    <w:tmpl w:val="7BC84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F50747"/>
    <w:multiLevelType w:val="hybridMultilevel"/>
    <w:tmpl w:val="FA484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AE42EA"/>
    <w:rsid w:val="00162264"/>
    <w:rsid w:val="00206A8A"/>
    <w:rsid w:val="00740A5F"/>
    <w:rsid w:val="0076266D"/>
    <w:rsid w:val="00852A10"/>
    <w:rsid w:val="00952162"/>
    <w:rsid w:val="009C6883"/>
    <w:rsid w:val="00AB6F50"/>
    <w:rsid w:val="00AE42EA"/>
    <w:rsid w:val="00BA4E21"/>
    <w:rsid w:val="00BD780E"/>
    <w:rsid w:val="00F8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26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E42E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E42EA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AE4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AE42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264"/>
    <w:pPr>
      <w:spacing w:after="200" w:line="276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E42E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E42EA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AE4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AE42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nb.hr/statistika/statisticki-podaci" TargetMode="External"/><Relationship Id="rId5" Type="http://schemas.openxmlformats.org/officeDocument/2006/relationships/hyperlink" Target="http://www.dzs.hr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Čorić</dc:creator>
  <cp:lastModifiedBy>sumic</cp:lastModifiedBy>
  <cp:revision>2</cp:revision>
  <dcterms:created xsi:type="dcterms:W3CDTF">2018-06-04T11:25:00Z</dcterms:created>
  <dcterms:modified xsi:type="dcterms:W3CDTF">2018-06-04T11:25:00Z</dcterms:modified>
</cp:coreProperties>
</file>